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0B1220"/>
            <w:tcMar>
              <w:top w:w="135" w:type="dxa"/>
              <w:start w:w="120" w:type="dxa"/>
              <w:bottom w:w="120" w:type="dxa"/>
              <w:end w:w="120" w:type="dxa"/>
            </w:tcMa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20"/>
              <w:jc w:val="center"/>
            </w:pPr>
            <w:r>
              <w:rPr>
                <w:rFonts w:ascii="Calibri" w:hAnsi="Calibri"/>
                <w:b/>
                <w:color w:val="FFFFFF"/>
                <w:sz w:val="36"/>
              </w:rPr>
              <w:t>MARTIN LEPAGE, PhD</w:t>
            </w:r>
          </w:p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D4B98A"/>
                <w:sz w:val="22"/>
              </w:rPr>
              <w:t>AI Governance | Research Operations | Documentation &amp; Risk</w:t>
            </w:r>
          </w:p>
          <w:p>
            <w:pPr>
              <w:spacing w:after="0"/>
              <w:jc w:val="center"/>
            </w:pPr>
            <w:r>
              <w:rPr>
                <w:rFonts w:ascii="Calibri" w:hAnsi="Calibri"/>
                <w:color w:val="D4DCE6"/>
                <w:sz w:val="20"/>
              </w:rPr>
              <w:t>Montreal, QC | +1 (514) 889-3098 | martinlepage.ai@gmail.com</w:t>
            </w:r>
          </w:p>
        </w:tc>
      </w:tr>
    </w:tbl>
    <w:p>
      <w:pPr>
        <w:spacing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6F7F9"/>
            <w:tcMar>
              <w:top w:w="110" w:type="dxa"/>
              <w:start w:w="130" w:type="dxa"/>
              <w:bottom w:w="110" w:type="dxa"/>
              <w:end w:w="130" w:type="dxa"/>
            </w:tcMar>
            <w:tcBorders>
              <w:top w:val="single" w:sz="6" w:color="D5DEE8" w:space="0"/>
              <w:left w:val="single" w:sz="6" w:color="D5DEE8" w:space="0"/>
              <w:bottom w:val="single" w:sz="6" w:color="D5DEE8" w:space="0"/>
              <w:right w:val="single" w:sz="6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1"/>
              </w:rPr>
              <w:t>Business-ready AI governance and research operations professional with recent experience across clinical trials, AI-assisted quality evaluation, and documentation-heavy institutional environments. Strong at bringing structure to fast-moving work: mapping AI use cases, identifying risk, improving traceability, supporting compliance, and delivering clear materials that help teams make better decisions under pressure.</w:t>
            </w:r>
          </w:p>
        </w:tc>
      </w:tr>
    </w:tbl>
    <w:p>
      <w:pPr>
        <w:spacing w:after="40"/>
      </w:pPr>
    </w:p>
    <w:p>
      <w:pPr>
        <w:spacing w:before="200" w:after="60"/>
        <w:pBdr>
          <w:bottom w:val="single" w:sz="8" w:space="1" w:color="0F766E"/>
        </w:pBdr>
      </w:pPr>
      <w:r>
        <w:rPr>
          <w:rFonts w:ascii="Calibri" w:hAnsi="Calibri"/>
          <w:b/>
          <w:color w:val="111827"/>
          <w:sz w:val="22"/>
        </w:rPr>
        <w:t>COMMERCIAL FIT PROFILE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776"/>
      </w:tblGrid>
      <w:tr>
        <w:tc>
          <w:tcPr>
            <w:tcW w:type="dxa" w:w="2592"/>
            <w:shd w:fill="EEF2F6"/>
            <w:tcMar>
              <w:top w:w="70" w:type="dxa"/>
              <w:start w:w="95" w:type="dxa"/>
              <w:bottom w:w="70" w:type="dxa"/>
              <w:end w:w="95" w:type="dxa"/>
            </w:tcMar>
            <w:tcBorders>
              <w:top w:val="single" w:sz="5" w:color="D5DEE8" w:space="0"/>
              <w:left w:val="single" w:sz="5" w:color="D5DEE8" w:space="0"/>
              <w:bottom w:val="single" w:sz="5" w:color="D5DEE8" w:space="0"/>
              <w:right w:val="single" w:sz="5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color w:val="115E59"/>
                <w:sz w:val="20"/>
              </w:rPr>
              <w:t>Business Value</w:t>
            </w:r>
          </w:p>
        </w:tc>
        <w:tc>
          <w:tcPr>
            <w:tcW w:type="dxa" w:w="7776"/>
            <w:shd w:fill="FFFFFF"/>
            <w:tcMar>
              <w:top w:w="70" w:type="dxa"/>
              <w:start w:w="105" w:type="dxa"/>
              <w:bottom w:w="70" w:type="dxa"/>
              <w:end w:w="105" w:type="dxa"/>
            </w:tcMar>
            <w:tcBorders>
              <w:top w:val="single" w:sz="5" w:color="E5EAF0" w:space="0"/>
              <w:left w:val="single" w:sz="5" w:color="E5EAF0" w:space="0"/>
              <w:bottom w:val="single" w:sz="5" w:color="E5EAF0" w:space="0"/>
              <w:right w:val="single" w:sz="5" w:color="E5EAF0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0"/>
              </w:rPr>
              <w:t>Risk mapping, decision support, executive-ready documentation, workflow clarity, cross-functional coordination</w:t>
            </w:r>
          </w:p>
        </w:tc>
      </w:tr>
      <w:tr>
        <w:tc>
          <w:tcPr>
            <w:tcW w:type="dxa" w:w="2592"/>
            <w:shd w:fill="EEF2F6"/>
            <w:tcMar>
              <w:top w:w="70" w:type="dxa"/>
              <w:start w:w="95" w:type="dxa"/>
              <w:bottom w:w="70" w:type="dxa"/>
              <w:end w:w="95" w:type="dxa"/>
            </w:tcMar>
            <w:tcBorders>
              <w:top w:val="single" w:sz="5" w:color="D5DEE8" w:space="0"/>
              <w:left w:val="single" w:sz="5" w:color="D5DEE8" w:space="0"/>
              <w:bottom w:val="single" w:sz="5" w:color="D5DEE8" w:space="0"/>
              <w:right w:val="single" w:sz="5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color w:val="115E59"/>
                <w:sz w:val="20"/>
              </w:rPr>
              <w:t>AI Governance</w:t>
            </w:r>
          </w:p>
        </w:tc>
        <w:tc>
          <w:tcPr>
            <w:tcW w:type="dxa" w:w="7776"/>
            <w:shd w:fill="FFFFFF"/>
            <w:tcMar>
              <w:top w:w="70" w:type="dxa"/>
              <w:start w:w="105" w:type="dxa"/>
              <w:bottom w:w="70" w:type="dxa"/>
              <w:end w:w="105" w:type="dxa"/>
            </w:tcMar>
            <w:tcBorders>
              <w:top w:val="single" w:sz="5" w:color="E5EAF0" w:space="0"/>
              <w:left w:val="single" w:sz="5" w:color="E5EAF0" w:space="0"/>
              <w:bottom w:val="single" w:sz="5" w:color="E5EAF0" w:space="0"/>
              <w:right w:val="single" w:sz="5" w:color="E5EAF0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0"/>
              </w:rPr>
              <w:t>AI use case inventory, governance risk mapping, decision traceability, escalation logic, minimum viable governance frameworks</w:t>
            </w:r>
          </w:p>
        </w:tc>
      </w:tr>
      <w:tr>
        <w:tc>
          <w:tcPr>
            <w:tcW w:type="dxa" w:w="2592"/>
            <w:shd w:fill="EEF2F6"/>
            <w:tcMar>
              <w:top w:w="70" w:type="dxa"/>
              <w:start w:w="95" w:type="dxa"/>
              <w:bottom w:w="70" w:type="dxa"/>
              <w:end w:w="95" w:type="dxa"/>
            </w:tcMar>
            <w:tcBorders>
              <w:top w:val="single" w:sz="5" w:color="D5DEE8" w:space="0"/>
              <w:left w:val="single" w:sz="5" w:color="D5DEE8" w:space="0"/>
              <w:bottom w:val="single" w:sz="5" w:color="D5DEE8" w:space="0"/>
              <w:right w:val="single" w:sz="5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color w:val="115E59"/>
                <w:sz w:val="20"/>
              </w:rPr>
              <w:t>Compliance &amp; Review</w:t>
            </w:r>
          </w:p>
        </w:tc>
        <w:tc>
          <w:tcPr>
            <w:tcW w:type="dxa" w:w="7776"/>
            <w:shd w:fill="FFFFFF"/>
            <w:tcMar>
              <w:top w:w="70" w:type="dxa"/>
              <w:start w:w="105" w:type="dxa"/>
              <w:bottom w:w="70" w:type="dxa"/>
              <w:end w:w="105" w:type="dxa"/>
            </w:tcMar>
            <w:tcBorders>
              <w:top w:val="single" w:sz="5" w:color="E5EAF0" w:space="0"/>
              <w:left w:val="single" w:sz="5" w:color="E5EAF0" w:space="0"/>
              <w:bottom w:val="single" w:sz="5" w:color="E5EAF0" w:space="0"/>
              <w:right w:val="single" w:sz="5" w:color="E5EAF0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0"/>
              </w:rPr>
              <w:t>AIDA, EU AI Act, NIST AI RMF, ICH GCP, audit-ready documentation, reviewable approval structures</w:t>
            </w:r>
          </w:p>
        </w:tc>
      </w:tr>
      <w:tr>
        <w:tc>
          <w:tcPr>
            <w:tcW w:type="dxa" w:w="2592"/>
            <w:shd w:fill="EEF2F6"/>
            <w:tcMar>
              <w:top w:w="70" w:type="dxa"/>
              <w:start w:w="95" w:type="dxa"/>
              <w:bottom w:w="70" w:type="dxa"/>
              <w:end w:w="95" w:type="dxa"/>
            </w:tcMar>
            <w:tcBorders>
              <w:top w:val="single" w:sz="5" w:color="D5DEE8" w:space="0"/>
              <w:left w:val="single" w:sz="5" w:color="D5DEE8" w:space="0"/>
              <w:bottom w:val="single" w:sz="5" w:color="D5DEE8" w:space="0"/>
              <w:right w:val="single" w:sz="5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color w:val="115E59"/>
                <w:sz w:val="20"/>
              </w:rPr>
              <w:t>Operations</w:t>
            </w:r>
          </w:p>
        </w:tc>
        <w:tc>
          <w:tcPr>
            <w:tcW w:type="dxa" w:w="7776"/>
            <w:shd w:fill="FFFFFF"/>
            <w:tcMar>
              <w:top w:w="70" w:type="dxa"/>
              <w:start w:w="105" w:type="dxa"/>
              <w:bottom w:w="70" w:type="dxa"/>
              <w:end w:w="105" w:type="dxa"/>
            </w:tcMar>
            <w:tcBorders>
              <w:top w:val="single" w:sz="5" w:color="E5EAF0" w:space="0"/>
              <w:left w:val="single" w:sz="5" w:color="E5EAF0" w:space="0"/>
              <w:bottom w:val="single" w:sz="5" w:color="E5EAF0" w:space="0"/>
              <w:right w:val="single" w:sz="5" w:color="E5EAF0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0"/>
              </w:rPr>
              <w:t>Protocol support, reporting pipelines, stakeholder communication, documentation under deadlines, quality control</w:t>
            </w:r>
          </w:p>
        </w:tc>
      </w:tr>
      <w:tr>
        <w:tc>
          <w:tcPr>
            <w:tcW w:type="dxa" w:w="2592"/>
            <w:shd w:fill="EEF2F6"/>
            <w:tcMar>
              <w:top w:w="70" w:type="dxa"/>
              <w:start w:w="95" w:type="dxa"/>
              <w:bottom w:w="70" w:type="dxa"/>
              <w:end w:w="95" w:type="dxa"/>
            </w:tcMar>
            <w:tcBorders>
              <w:top w:val="single" w:sz="5" w:color="D5DEE8" w:space="0"/>
              <w:left w:val="single" w:sz="5" w:color="D5DEE8" w:space="0"/>
              <w:bottom w:val="single" w:sz="5" w:color="D5DEE8" w:space="0"/>
              <w:right w:val="single" w:sz="5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color w:val="115E59"/>
                <w:sz w:val="20"/>
              </w:rPr>
              <w:t>AI / Hybrid Systems</w:t>
            </w:r>
          </w:p>
        </w:tc>
        <w:tc>
          <w:tcPr>
            <w:tcW w:type="dxa" w:w="7776"/>
            <w:shd w:fill="FFFFFF"/>
            <w:tcMar>
              <w:top w:w="70" w:type="dxa"/>
              <w:start w:w="105" w:type="dxa"/>
              <w:bottom w:w="70" w:type="dxa"/>
              <w:end w:w="105" w:type="dxa"/>
            </w:tcMar>
            <w:tcBorders>
              <w:top w:val="single" w:sz="5" w:color="E5EAF0" w:space="0"/>
              <w:left w:val="single" w:sz="5" w:color="E5EAF0" w:space="0"/>
              <w:bottom w:val="single" w:sz="5" w:color="E5EAF0" w:space="0"/>
              <w:right w:val="single" w:sz="5" w:color="E5EAF0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0"/>
              </w:rPr>
              <w:t>AI-assisted quality evaluation, trust and bias risk detection, human-in-the-loop workflows, data annotation, audio collection</w:t>
            </w:r>
          </w:p>
        </w:tc>
      </w:tr>
      <w:tr>
        <w:tc>
          <w:tcPr>
            <w:tcW w:type="dxa" w:w="2592"/>
            <w:shd w:fill="EEF2F6"/>
            <w:tcMar>
              <w:top w:w="70" w:type="dxa"/>
              <w:start w:w="95" w:type="dxa"/>
              <w:bottom w:w="70" w:type="dxa"/>
              <w:end w:w="95" w:type="dxa"/>
            </w:tcMar>
            <w:tcBorders>
              <w:top w:val="single" w:sz="5" w:color="D5DEE8" w:space="0"/>
              <w:left w:val="single" w:sz="5" w:color="D5DEE8" w:space="0"/>
              <w:bottom w:val="single" w:sz="5" w:color="D5DEE8" w:space="0"/>
              <w:right w:val="single" w:sz="5" w:color="D5DEE8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b/>
                <w:color w:val="115E59"/>
                <w:sz w:val="20"/>
              </w:rPr>
              <w:t>Tools &amp; Languages</w:t>
            </w:r>
          </w:p>
        </w:tc>
        <w:tc>
          <w:tcPr>
            <w:tcW w:type="dxa" w:w="7776"/>
            <w:shd w:fill="FFFFFF"/>
            <w:tcMar>
              <w:top w:w="70" w:type="dxa"/>
              <w:start w:w="105" w:type="dxa"/>
              <w:bottom w:w="70" w:type="dxa"/>
              <w:end w:w="105" w:type="dxa"/>
            </w:tcMar>
            <w:tcBorders>
              <w:top w:val="single" w:sz="5" w:color="E5EAF0" w:space="0"/>
              <w:left w:val="single" w:sz="5" w:color="E5EAF0" w:space="0"/>
              <w:bottom w:val="single" w:sz="5" w:color="E5EAF0" w:space="0"/>
              <w:right w:val="single" w:sz="5" w:color="E5EAF0" w:space="0"/>
            </w:tcBorders>
          </w:tcPr>
          <w:p>
            <w:pPr>
              <w:spacing w:after="0"/>
            </w:pPr>
            <w:r>
              <w:rPr>
                <w:rFonts w:ascii="Calibri" w:hAnsi="Calibri"/>
                <w:color w:val="1F2937"/>
                <w:sz w:val="20"/>
              </w:rPr>
              <w:t>REDCap, Microsoft Office Suite, Canva, WordPress, Python (basic data navigation) | English, French</w:t>
            </w:r>
          </w:p>
        </w:tc>
      </w:tr>
    </w:tbl>
    <w:p>
      <w:pPr>
        <w:spacing w:before="200" w:after="60"/>
        <w:pBdr>
          <w:bottom w:val="single" w:sz="8" w:space="1" w:color="0F766E"/>
        </w:pBdr>
      </w:pPr>
      <w:r>
        <w:rPr>
          <w:rFonts w:ascii="Calibri" w:hAnsi="Calibri"/>
          <w:b/>
          <w:color w:val="111827"/>
          <w:sz w:val="22"/>
        </w:rPr>
        <w:t>EXPERIENCE</w:t>
      </w:r>
    </w:p>
    <w:p>
      <w:pPr>
        <w:spacing w:before="120" w:after="0"/>
      </w:pPr>
      <w:r>
        <w:rPr>
          <w:rFonts w:ascii="Calibri" w:hAnsi="Calibri"/>
          <w:b/>
          <w:color w:val="111827"/>
          <w:sz w:val="23"/>
        </w:rPr>
        <w:t>Clinical Trial Coordinator</w:t>
      </w:r>
    </w:p>
    <w:p>
      <w:pPr>
        <w:spacing w:after="40"/>
      </w:pPr>
      <w:r>
        <w:rPr>
          <w:rFonts w:ascii="Calibri" w:hAnsi="Calibri"/>
          <w:i/>
          <w:color w:val="6B7280"/>
          <w:sz w:val="19"/>
        </w:rPr>
        <w:t>Novartis Canada (via Calian Group), Remote | Oct 2025 - Jan 2026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Coordinated large-scale pharmaceutical trial activity in a high-compliance environment and kept documentation review-ready under tight timelines.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Managed cross-functional communication across distributed stakeholders to keep operational and regulatory materials moving.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Delivered structured, audit-ready materials for time-sensitive trial work.</w:t>
      </w:r>
    </w:p>
    <w:p>
      <w:pPr>
        <w:spacing w:before="120" w:after="0"/>
      </w:pPr>
      <w:r>
        <w:rPr>
          <w:rFonts w:ascii="Calibri" w:hAnsi="Calibri"/>
          <w:b/>
          <w:color w:val="111827"/>
          <w:sz w:val="23"/>
        </w:rPr>
        <w:t>Assistant Research Coordinator (Clinical &amp; Academic)</w:t>
      </w:r>
    </w:p>
    <w:p>
      <w:pPr>
        <w:spacing w:after="40"/>
      </w:pPr>
      <w:r>
        <w:rPr>
          <w:rFonts w:ascii="Calibri" w:hAnsi="Calibri"/>
          <w:i/>
          <w:color w:val="6B7280"/>
          <w:sz w:val="19"/>
        </w:rPr>
        <w:t>Clinique medicale L'Actuel, Montreal | Aug 2023 - Oct 2025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Directed research protocol coordination, stakeholder engagement, and documentation workflows across clinical and academic settings.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Improved grant, reporting, and formal project materials through clearer documentation pipelines.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Maintained project integrity across ethical, clinical, and academic standards.</w:t>
      </w:r>
    </w:p>
    <w:p>
      <w:pPr>
        <w:spacing w:before="120" w:after="0"/>
      </w:pPr>
      <w:r>
        <w:rPr>
          <w:rFonts w:ascii="Calibri" w:hAnsi="Calibri"/>
          <w:b/>
          <w:color w:val="111827"/>
          <w:sz w:val="23"/>
        </w:rPr>
        <w:t>Research and Laboratory Assistant</w:t>
      </w:r>
    </w:p>
    <w:p>
      <w:pPr>
        <w:spacing w:after="40"/>
      </w:pPr>
      <w:r>
        <w:rPr>
          <w:rFonts w:ascii="Calibri" w:hAnsi="Calibri"/>
          <w:i/>
          <w:color w:val="6B7280"/>
          <w:sz w:val="19"/>
        </w:rPr>
        <w:t>Clinique medicale L'Actuel, Montreal | Jan 2023 - Aug 2023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Managed sample processing, database input, and research tracking for multi-phase work.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Supported cleaner data reporting and stronger workflow consistency.</w:t>
      </w:r>
    </w:p>
    <w:p>
      <w:pPr>
        <w:spacing w:before="120" w:after="0"/>
      </w:pPr>
      <w:r>
        <w:rPr>
          <w:rFonts w:ascii="Calibri" w:hAnsi="Calibri"/>
          <w:b/>
          <w:color w:val="111827"/>
          <w:sz w:val="23"/>
        </w:rPr>
        <w:t>Lead Quality Evaluator (EN/FR)</w:t>
      </w:r>
    </w:p>
    <w:p>
      <w:pPr>
        <w:spacing w:after="40"/>
      </w:pPr>
      <w:r>
        <w:rPr>
          <w:rFonts w:ascii="Calibri" w:hAnsi="Calibri"/>
          <w:i/>
          <w:color w:val="6B7280"/>
          <w:sz w:val="19"/>
        </w:rPr>
        <w:t>Concentrix (Toyota Connected), Remote | 2022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Evaluated decision quality in AI-assisted customer service environments in English and French.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Identified risk signals in escalation logic, judgment consistency, and potential output bias.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Turned review findings into practical recommendations to improve workflow reliability and trustworthiness.</w:t>
      </w:r>
    </w:p>
    <w:p>
      <w:pPr>
        <w:spacing w:before="120" w:after="0"/>
      </w:pPr>
      <w:r>
        <w:rPr>
          <w:rFonts w:ascii="Calibri" w:hAnsi="Calibri"/>
          <w:b/>
          <w:color w:val="111827"/>
          <w:sz w:val="23"/>
        </w:rPr>
        <w:t>Materials &amp; Preservation Clerk</w:t>
      </w:r>
    </w:p>
    <w:p>
      <w:pPr>
        <w:spacing w:after="40"/>
      </w:pPr>
      <w:r>
        <w:rPr>
          <w:rFonts w:ascii="Calibri" w:hAnsi="Calibri"/>
          <w:i/>
          <w:color w:val="6B7280"/>
          <w:sz w:val="19"/>
        </w:rPr>
        <w:t>National Film Board of Canada | 2019 - 2021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Maintained digital and physical media preservation workflows for complex archival assets.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Documented lifecycle controls and retrieval processes to improve traceability.</w:t>
      </w:r>
    </w:p>
    <w:p>
      <w:pPr>
        <w:spacing w:before="120" w:after="0"/>
      </w:pPr>
      <w:r>
        <w:rPr>
          <w:rFonts w:ascii="Calibri" w:hAnsi="Calibri"/>
          <w:b/>
          <w:color w:val="111827"/>
          <w:sz w:val="23"/>
        </w:rPr>
        <w:t>Research &amp; Teaching Assistant</w:t>
      </w:r>
    </w:p>
    <w:p>
      <w:pPr>
        <w:spacing w:after="40"/>
      </w:pPr>
      <w:r>
        <w:rPr>
          <w:rFonts w:ascii="Calibri" w:hAnsi="Calibri"/>
          <w:i/>
          <w:color w:val="6B7280"/>
          <w:sz w:val="19"/>
        </w:rPr>
        <w:t>UQAM | 2010 - 2017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Supported teaching and research in Sociology, Sexology, and Religious Studies.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Led tutorials, assessed student work, and contributed to publication-oriented research.</w:t>
      </w:r>
    </w:p>
    <w:p>
      <w:pPr>
        <w:spacing w:before="200" w:after="60"/>
        <w:pBdr>
          <w:bottom w:val="single" w:sz="8" w:space="1" w:color="0F766E"/>
        </w:pBdr>
      </w:pPr>
      <w:r>
        <w:rPr>
          <w:rFonts w:ascii="Calibri" w:hAnsi="Calibri"/>
          <w:b/>
          <w:color w:val="111827"/>
          <w:sz w:val="22"/>
        </w:rPr>
        <w:t>SELECTED AI GOVERNANCE WORK</w:t>
      </w:r>
    </w:p>
    <w:p>
      <w:pPr>
        <w:spacing w:before="100" w:after="0"/>
      </w:pPr>
      <w:r>
        <w:rPr>
          <w:rFonts w:ascii="Calibri" w:hAnsi="Calibri"/>
          <w:b/>
          <w:color w:val="111827"/>
          <w:sz w:val="22"/>
        </w:rPr>
        <w:t>Governance Deliverable Design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Developed AI use case inventory, governance risk map, minimum viable governance framework, decision traceability blueprint, and executive briefing materials for emerging AI use cases.</w:t>
      </w:r>
    </w:p>
    <w:p>
      <w:pPr>
        <w:spacing w:before="100" w:after="0"/>
      </w:pPr>
      <w:r>
        <w:rPr>
          <w:rFonts w:ascii="Calibri" w:hAnsi="Calibri"/>
          <w:b/>
          <w:color w:val="111827"/>
          <w:sz w:val="22"/>
        </w:rPr>
        <w:t>AI Governance Writing &amp; Analysis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Produced practical governance analyses on agentic AI, recursive workflows, provenance, documentation, and decision traceability.</w:t>
      </w:r>
    </w:p>
    <w:p>
      <w:pPr>
        <w:spacing w:before="100" w:after="0"/>
      </w:pPr>
      <w:r>
        <w:rPr>
          <w:rFonts w:ascii="Calibri" w:hAnsi="Calibri"/>
          <w:b/>
          <w:color w:val="111827"/>
          <w:sz w:val="22"/>
        </w:rPr>
        <w:t>Hybrid Workflow Review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Applied documentation, quality review, and escalation analysis across regulated clinical environments and AI-assisted operational systems.</w:t>
      </w:r>
    </w:p>
    <w:p>
      <w:pPr>
        <w:spacing w:before="200" w:after="60"/>
        <w:pBdr>
          <w:bottom w:val="single" w:sz="8" w:space="1" w:color="0F766E"/>
        </w:pBdr>
      </w:pPr>
      <w:r>
        <w:rPr>
          <w:rFonts w:ascii="Calibri" w:hAnsi="Calibri"/>
          <w:b/>
          <w:color w:val="111827"/>
          <w:sz w:val="22"/>
        </w:rPr>
        <w:t>EDUCATION</w:t>
      </w:r>
    </w:p>
    <w:p>
      <w:pPr>
        <w:spacing w:after="0"/>
      </w:pPr>
      <w:r>
        <w:rPr>
          <w:rFonts w:ascii="Calibri" w:hAnsi="Calibri"/>
          <w:b/>
          <w:color w:val="111827"/>
          <w:sz w:val="22"/>
        </w:rPr>
        <w:t>PhD, Religious Sciences</w:t>
      </w:r>
      <w:r>
        <w:t xml:space="preserve"> | UQAM | 2017</w:t>
      </w:r>
    </w:p>
    <w:p>
      <w:pPr>
        <w:spacing w:after="40"/>
      </w:pPr>
      <w:r>
        <w:rPr>
          <w:color w:val="1F2937"/>
          <w:sz w:val="20"/>
        </w:rPr>
        <w:t>Focus: legitimacy, power, and cultural systems of meaning in institutional settings.</w:t>
      </w:r>
    </w:p>
    <w:p>
      <w:pPr>
        <w:spacing w:after="0"/>
      </w:pPr>
      <w:r>
        <w:rPr>
          <w:rFonts w:ascii="Calibri" w:hAnsi="Calibri"/>
          <w:b/>
          <w:color w:val="111827"/>
          <w:sz w:val="22"/>
        </w:rPr>
        <w:t>MA, Literary Studies</w:t>
      </w:r>
      <w:r>
        <w:t xml:space="preserve"> | Universite Laval | 2009</w:t>
      </w:r>
    </w:p>
    <w:p>
      <w:pPr>
        <w:spacing w:before="200" w:after="60"/>
        <w:pBdr>
          <w:bottom w:val="single" w:sz="8" w:space="1" w:color="0F766E"/>
        </w:pBdr>
      </w:pPr>
      <w:r>
        <w:rPr>
          <w:rFonts w:ascii="Calibri" w:hAnsi="Calibri"/>
          <w:b/>
          <w:color w:val="111827"/>
          <w:sz w:val="22"/>
        </w:rPr>
        <w:t>CERTIFICATIONS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Responsible Generative AI Specialization - University of Michigan, Coursera (Completed Jan. 2026)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Responsible and Ethical AI - Northeastern University, Coursera (Completed Jan. 2026)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Strategic AI Governance - Executive-Level Risk, Ethics &amp; Oversight, Coursera Professional Specialization (in progress)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Building Trustworthy AI Specialization - Coursera (Completed Jan. 2026)</w:t>
      </w:r>
    </w:p>
    <w:p>
      <w:pPr>
        <w:spacing w:after="20"/>
        <w:ind w:left="280" w:hanging="200"/>
      </w:pPr>
      <w:r>
        <w:rPr>
          <w:b/>
          <w:color w:val="C8A96B"/>
        </w:rPr>
        <w:t xml:space="preserve">• </w:t>
      </w:r>
      <w:r>
        <w:rPr>
          <w:rFonts w:ascii="Calibri" w:hAnsi="Calibri"/>
          <w:color w:val="1F2937"/>
          <w:sz w:val="20"/>
        </w:rPr>
        <w:t>ICH Good Clinical Practice (GCP) E6(R3) - The Global Health Network (Completed Oct. 25, 2025)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